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90" w:rsidRPr="00CD518C" w:rsidRDefault="00E14290" w:rsidP="00CD518C">
      <w:pPr>
        <w:jc w:val="both"/>
        <w:rPr>
          <w:b/>
        </w:rPr>
      </w:pPr>
      <w:r w:rsidRPr="00CD518C">
        <w:rPr>
          <w:b/>
        </w:rPr>
        <w:t xml:space="preserve">PLAN LOCAL D’URBANISME – COMMUNE </w:t>
      </w:r>
      <w:r w:rsidR="006E695F" w:rsidRPr="00CD518C">
        <w:rPr>
          <w:b/>
        </w:rPr>
        <w:t>D</w:t>
      </w:r>
      <w:r w:rsidR="00676E6A">
        <w:rPr>
          <w:b/>
        </w:rPr>
        <w:t>’ARANDON PASSINS – COMMUNE DELEGUEE DE PASSINS</w:t>
      </w:r>
    </w:p>
    <w:p w:rsidR="00E14290" w:rsidRDefault="00CD518C" w:rsidP="00CD518C">
      <w:pPr>
        <w:jc w:val="both"/>
        <w:rPr>
          <w:b/>
          <w:sz w:val="36"/>
          <w:szCs w:val="36"/>
        </w:rPr>
      </w:pPr>
      <w:r w:rsidRPr="00CD518C">
        <w:rPr>
          <w:b/>
          <w:sz w:val="36"/>
          <w:szCs w:val="36"/>
        </w:rPr>
        <w:t xml:space="preserve">NOTICE </w:t>
      </w:r>
      <w:r>
        <w:rPr>
          <w:b/>
          <w:sz w:val="36"/>
          <w:szCs w:val="36"/>
        </w:rPr>
        <w:t>DECHETS</w:t>
      </w:r>
    </w:p>
    <w:p w:rsidR="00A12823" w:rsidRPr="00A12823" w:rsidRDefault="00A12823" w:rsidP="00A12823">
      <w:pPr>
        <w:jc w:val="both"/>
        <w:rPr>
          <w:i/>
          <w:sz w:val="24"/>
          <w:szCs w:val="24"/>
        </w:rPr>
      </w:pPr>
      <w:r w:rsidRPr="00A12823">
        <w:rPr>
          <w:i/>
          <w:sz w:val="24"/>
          <w:szCs w:val="24"/>
        </w:rPr>
        <w:t>Source RAPPORT ANNUEL SITCOM MORESTEL 2019</w:t>
      </w:r>
    </w:p>
    <w:p w:rsidR="00CD518C" w:rsidRDefault="00CD518C" w:rsidP="00CD518C">
      <w:pPr>
        <w:jc w:val="both"/>
        <w:rPr>
          <w:sz w:val="24"/>
          <w:szCs w:val="24"/>
          <w:highlight w:val="lightGray"/>
        </w:rPr>
      </w:pPr>
    </w:p>
    <w:p w:rsidR="00CD518C" w:rsidRPr="00CD518C" w:rsidRDefault="00CD518C" w:rsidP="00CD518C">
      <w:pPr>
        <w:jc w:val="both"/>
        <w:rPr>
          <w:sz w:val="24"/>
          <w:szCs w:val="24"/>
        </w:rPr>
      </w:pPr>
      <w:r w:rsidRPr="00CD518C">
        <w:rPr>
          <w:sz w:val="24"/>
          <w:szCs w:val="24"/>
          <w:highlight w:val="lightGray"/>
        </w:rPr>
        <w:t>Outils de gestion des déchets</w:t>
      </w:r>
    </w:p>
    <w:p w:rsidR="00CD518C" w:rsidRPr="00CD518C" w:rsidRDefault="00CD518C" w:rsidP="00CD518C">
      <w:pPr>
        <w:jc w:val="both"/>
        <w:rPr>
          <w:sz w:val="24"/>
          <w:szCs w:val="24"/>
        </w:rPr>
      </w:pPr>
      <w:r w:rsidRPr="00CD518C">
        <w:rPr>
          <w:sz w:val="24"/>
          <w:szCs w:val="24"/>
        </w:rPr>
        <w:t xml:space="preserve">Les déchets constituent un risque pour </w:t>
      </w:r>
      <w:r w:rsidR="00734AAE" w:rsidRPr="00CD518C">
        <w:rPr>
          <w:sz w:val="24"/>
          <w:szCs w:val="24"/>
        </w:rPr>
        <w:t>I ‘environnement</w:t>
      </w:r>
      <w:r w:rsidRPr="00CD518C">
        <w:rPr>
          <w:sz w:val="24"/>
          <w:szCs w:val="24"/>
        </w:rPr>
        <w:t xml:space="preserve"> et la santé de l'homme ainsi</w:t>
      </w:r>
      <w:r w:rsidR="00676E6A">
        <w:rPr>
          <w:sz w:val="24"/>
          <w:szCs w:val="24"/>
        </w:rPr>
        <w:t xml:space="preserve"> </w:t>
      </w:r>
      <w:r w:rsidRPr="00CD518C">
        <w:rPr>
          <w:sz w:val="24"/>
          <w:szCs w:val="24"/>
        </w:rPr>
        <w:t>qu'une source de nuisances pour les populations. Pour répondre à ces préoccupations et organiser la gestion des déchets, des plans départementaux sont mis en place. C'est le cas du Plan Départemental d'</w:t>
      </w:r>
      <w:r w:rsidR="00676E6A" w:rsidRPr="00CD518C">
        <w:rPr>
          <w:sz w:val="24"/>
          <w:szCs w:val="24"/>
        </w:rPr>
        <w:t>Élimination</w:t>
      </w:r>
      <w:r w:rsidRPr="00CD518C">
        <w:rPr>
          <w:sz w:val="24"/>
          <w:szCs w:val="24"/>
        </w:rPr>
        <w:t xml:space="preserve"> des Déchets Ménagers et</w:t>
      </w:r>
      <w:r w:rsidR="00676E6A">
        <w:rPr>
          <w:sz w:val="24"/>
          <w:szCs w:val="24"/>
        </w:rPr>
        <w:t xml:space="preserve"> </w:t>
      </w:r>
      <w:r w:rsidRPr="00CD518C">
        <w:rPr>
          <w:sz w:val="24"/>
          <w:szCs w:val="24"/>
        </w:rPr>
        <w:t>Assimilés (PPEDMA) de l'</w:t>
      </w:r>
      <w:r w:rsidR="00676E6A" w:rsidRPr="00CD518C">
        <w:rPr>
          <w:sz w:val="24"/>
          <w:szCs w:val="24"/>
        </w:rPr>
        <w:t>Isère</w:t>
      </w:r>
      <w:r w:rsidRPr="00CD518C">
        <w:rPr>
          <w:sz w:val="24"/>
          <w:szCs w:val="24"/>
        </w:rPr>
        <w:t>.</w:t>
      </w:r>
    </w:p>
    <w:p w:rsidR="00CD518C" w:rsidRPr="00CD518C" w:rsidRDefault="00CD518C" w:rsidP="00CD518C">
      <w:pPr>
        <w:jc w:val="both"/>
        <w:rPr>
          <w:sz w:val="24"/>
          <w:szCs w:val="24"/>
        </w:rPr>
      </w:pPr>
      <w:r w:rsidRPr="00CD518C">
        <w:rPr>
          <w:sz w:val="24"/>
          <w:szCs w:val="24"/>
        </w:rPr>
        <w:t xml:space="preserve">La  collecte  des  déchets  ménagers  </w:t>
      </w:r>
      <w:r w:rsidR="00F4074C">
        <w:rPr>
          <w:sz w:val="24"/>
          <w:szCs w:val="24"/>
        </w:rPr>
        <w:t>est  réalisé</w:t>
      </w:r>
      <w:r w:rsidRPr="00CD518C">
        <w:rPr>
          <w:sz w:val="24"/>
          <w:szCs w:val="24"/>
        </w:rPr>
        <w:t xml:space="preserve">  </w:t>
      </w:r>
      <w:r w:rsidR="00F4074C">
        <w:rPr>
          <w:sz w:val="24"/>
          <w:szCs w:val="24"/>
        </w:rPr>
        <w:t xml:space="preserve">par le SICTOM de la région de Morestel qui regroupe 45 communes pour environs 35 000 foyers. Le traitement est délégué au SITOM Nord-Isère qui gère l’unité d’incinération de Bourgoin-Jallieu. </w:t>
      </w:r>
      <w:r w:rsidRPr="00CD518C">
        <w:rPr>
          <w:sz w:val="24"/>
          <w:szCs w:val="24"/>
        </w:rPr>
        <w:t>La  collecte  se  fait  essentiellement  en  points  de  regroupement  avec  une  adaptation  de  la  fréquence  des collectes s’adaptant aux variations de populations saisonnières</w:t>
      </w:r>
      <w:r w:rsidR="00F4074C">
        <w:rPr>
          <w:sz w:val="24"/>
          <w:szCs w:val="24"/>
        </w:rPr>
        <w:t>.</w:t>
      </w:r>
      <w:r w:rsidRPr="00CD518C">
        <w:rPr>
          <w:sz w:val="24"/>
          <w:szCs w:val="24"/>
        </w:rPr>
        <w:t xml:space="preserve"> </w:t>
      </w:r>
    </w:p>
    <w:p w:rsidR="00CD518C" w:rsidRPr="00CD518C" w:rsidRDefault="00CD518C" w:rsidP="00CD518C">
      <w:pPr>
        <w:jc w:val="both"/>
        <w:rPr>
          <w:sz w:val="24"/>
          <w:szCs w:val="24"/>
        </w:rPr>
      </w:pPr>
    </w:p>
    <w:p w:rsidR="00CD518C" w:rsidRPr="00CD518C" w:rsidRDefault="00CD518C" w:rsidP="00CD518C">
      <w:pPr>
        <w:jc w:val="both"/>
        <w:rPr>
          <w:sz w:val="24"/>
          <w:szCs w:val="24"/>
        </w:rPr>
      </w:pPr>
      <w:r w:rsidRPr="00CD518C">
        <w:rPr>
          <w:sz w:val="24"/>
          <w:szCs w:val="24"/>
          <w:highlight w:val="lightGray"/>
        </w:rPr>
        <w:t>Grands équipements intercommunautaires de gestion des déchets</w:t>
      </w:r>
    </w:p>
    <w:p w:rsidR="00CD518C" w:rsidRPr="00CD518C" w:rsidRDefault="00CD518C" w:rsidP="00CD518C">
      <w:pPr>
        <w:jc w:val="both"/>
        <w:rPr>
          <w:sz w:val="24"/>
          <w:szCs w:val="24"/>
        </w:rPr>
      </w:pPr>
      <w:r w:rsidRPr="00CD518C">
        <w:rPr>
          <w:sz w:val="24"/>
          <w:szCs w:val="24"/>
        </w:rPr>
        <w:t xml:space="preserve">La collecte sélective </w:t>
      </w:r>
      <w:r w:rsidR="00F4074C">
        <w:rPr>
          <w:sz w:val="24"/>
          <w:szCs w:val="24"/>
        </w:rPr>
        <w:t xml:space="preserve">est </w:t>
      </w:r>
      <w:r w:rsidR="002D1954">
        <w:rPr>
          <w:sz w:val="24"/>
          <w:szCs w:val="24"/>
        </w:rPr>
        <w:t>i</w:t>
      </w:r>
      <w:r w:rsidR="00F4074C" w:rsidRPr="00F4074C">
        <w:rPr>
          <w:sz w:val="24"/>
          <w:szCs w:val="24"/>
        </w:rPr>
        <w:t>nstaurée dans les années 70 pour le verre et depuis 1998 pour les emballages et le papier</w:t>
      </w:r>
      <w:r w:rsidR="00F4074C">
        <w:rPr>
          <w:sz w:val="24"/>
          <w:szCs w:val="24"/>
        </w:rPr>
        <w:t> :</w:t>
      </w:r>
      <w:r w:rsidRPr="00CD518C">
        <w:rPr>
          <w:sz w:val="24"/>
          <w:szCs w:val="24"/>
        </w:rPr>
        <w:t xml:space="preserve"> </w:t>
      </w:r>
    </w:p>
    <w:p w:rsidR="00F4074C" w:rsidRDefault="00CD518C" w:rsidP="00F4074C">
      <w:pPr>
        <w:jc w:val="both"/>
        <w:rPr>
          <w:sz w:val="24"/>
          <w:szCs w:val="24"/>
        </w:rPr>
      </w:pPr>
      <w:r w:rsidRPr="00CD518C">
        <w:rPr>
          <w:sz w:val="24"/>
          <w:szCs w:val="24"/>
        </w:rPr>
        <w:t xml:space="preserve">-  </w:t>
      </w:r>
      <w:r w:rsidR="00F4074C" w:rsidRPr="00F4074C">
        <w:rPr>
          <w:sz w:val="24"/>
          <w:szCs w:val="24"/>
        </w:rPr>
        <w:t xml:space="preserve">points d’apport volontaire </w:t>
      </w:r>
      <w:proofErr w:type="spellStart"/>
      <w:r w:rsidR="00F4074C" w:rsidRPr="00F4074C">
        <w:rPr>
          <w:sz w:val="24"/>
          <w:szCs w:val="24"/>
        </w:rPr>
        <w:t>triflux</w:t>
      </w:r>
      <w:proofErr w:type="spellEnd"/>
      <w:r w:rsidR="00F4074C" w:rsidRPr="00F4074C">
        <w:rPr>
          <w:sz w:val="24"/>
          <w:szCs w:val="24"/>
        </w:rPr>
        <w:t xml:space="preserve"> (verre, emballages, papiers)  sur deux tiers du territoire et en porte à porte  (emballages et papiers + verre en apport volontaire)  sur le tiers restant.</w:t>
      </w:r>
    </w:p>
    <w:p w:rsidR="002D1954" w:rsidRDefault="002D1954" w:rsidP="00F40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1954">
        <w:rPr>
          <w:sz w:val="24"/>
          <w:szCs w:val="24"/>
        </w:rPr>
        <w:t>261 points d’apport volontaire collectés en prestation privée</w:t>
      </w:r>
      <w:r>
        <w:rPr>
          <w:sz w:val="24"/>
          <w:szCs w:val="24"/>
        </w:rPr>
        <w:t>.</w:t>
      </w:r>
    </w:p>
    <w:p w:rsidR="002D1954" w:rsidRDefault="002D1954" w:rsidP="002D1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1954">
        <w:rPr>
          <w:sz w:val="24"/>
          <w:szCs w:val="24"/>
        </w:rPr>
        <w:t xml:space="preserve">Collecte en porte à porte effectuée en régie des emballages et </w:t>
      </w:r>
      <w:r>
        <w:rPr>
          <w:sz w:val="24"/>
          <w:szCs w:val="24"/>
        </w:rPr>
        <w:t xml:space="preserve"> </w:t>
      </w:r>
      <w:r w:rsidRPr="002D1954">
        <w:rPr>
          <w:sz w:val="24"/>
          <w:szCs w:val="24"/>
        </w:rPr>
        <w:t>papiers en mélange sur l’ancien secteur des Vallons de La Tour</w:t>
      </w:r>
      <w:r>
        <w:rPr>
          <w:sz w:val="24"/>
          <w:szCs w:val="24"/>
        </w:rPr>
        <w:t>.</w:t>
      </w:r>
    </w:p>
    <w:p w:rsidR="00CD518C" w:rsidRDefault="00CD518C" w:rsidP="00CD518C">
      <w:pPr>
        <w:jc w:val="both"/>
        <w:rPr>
          <w:sz w:val="24"/>
          <w:szCs w:val="24"/>
        </w:rPr>
      </w:pPr>
      <w:r w:rsidRPr="00CD518C">
        <w:rPr>
          <w:sz w:val="24"/>
          <w:szCs w:val="24"/>
        </w:rPr>
        <w:t xml:space="preserve">-  </w:t>
      </w:r>
      <w:r w:rsidR="00F4074C" w:rsidRPr="00F4074C">
        <w:rPr>
          <w:sz w:val="24"/>
          <w:szCs w:val="24"/>
        </w:rPr>
        <w:t>La gestion d’un réseau de 8 déchèteries depuis 1995</w:t>
      </w:r>
      <w:r w:rsidRPr="00CD518C">
        <w:rPr>
          <w:sz w:val="24"/>
          <w:szCs w:val="24"/>
        </w:rPr>
        <w:t xml:space="preserve">. Elles assurent le recyclage  ou  la  valorisation  des  encombrants,  des  gravats, des  végétaux,  du  bois,  des  papiers/cartons,  des  ferrailles, des  batteries  et  des  déchets  dangereux.  Toutes  les déchetteries acceptent les déchets professionnels ;  </w:t>
      </w:r>
    </w:p>
    <w:p w:rsidR="002D1954" w:rsidRDefault="002D1954" w:rsidP="002D1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</w:t>
      </w:r>
      <w:proofErr w:type="spellStart"/>
      <w:r>
        <w:rPr>
          <w:sz w:val="24"/>
          <w:szCs w:val="24"/>
        </w:rPr>
        <w:t>vé</w:t>
      </w:r>
      <w:r w:rsidRPr="002D1954">
        <w:rPr>
          <w:sz w:val="24"/>
          <w:szCs w:val="24"/>
        </w:rPr>
        <w:t>gèterie</w:t>
      </w:r>
      <w:proofErr w:type="spellEnd"/>
      <w:r w:rsidRPr="002D1954">
        <w:rPr>
          <w:sz w:val="24"/>
          <w:szCs w:val="24"/>
        </w:rPr>
        <w:t xml:space="preserve"> de Passins</w:t>
      </w:r>
      <w:r>
        <w:rPr>
          <w:sz w:val="24"/>
          <w:szCs w:val="24"/>
        </w:rPr>
        <w:t>. U</w:t>
      </w:r>
      <w:r w:rsidRPr="002D1954">
        <w:rPr>
          <w:sz w:val="24"/>
          <w:szCs w:val="24"/>
        </w:rPr>
        <w:t>n service ouvert et gardienné depuis le 1er juillet</w:t>
      </w:r>
      <w:r>
        <w:rPr>
          <w:sz w:val="24"/>
          <w:szCs w:val="24"/>
        </w:rPr>
        <w:t xml:space="preserve"> </w:t>
      </w:r>
      <w:r w:rsidRPr="002D1954">
        <w:rPr>
          <w:sz w:val="24"/>
          <w:szCs w:val="24"/>
        </w:rPr>
        <w:t>2015 pour un déchargement facilité, une amélioration</w:t>
      </w:r>
      <w:r>
        <w:rPr>
          <w:sz w:val="24"/>
          <w:szCs w:val="24"/>
        </w:rPr>
        <w:t xml:space="preserve"> </w:t>
      </w:r>
      <w:r w:rsidRPr="002D1954">
        <w:rPr>
          <w:sz w:val="24"/>
          <w:szCs w:val="24"/>
        </w:rPr>
        <w:t>de la fluidité, un support de sensibilisation au</w:t>
      </w:r>
      <w:r>
        <w:rPr>
          <w:sz w:val="24"/>
          <w:szCs w:val="24"/>
        </w:rPr>
        <w:t xml:space="preserve"> </w:t>
      </w:r>
      <w:r w:rsidRPr="002D1954">
        <w:rPr>
          <w:sz w:val="24"/>
          <w:szCs w:val="24"/>
        </w:rPr>
        <w:t>compostage et au paillage.</w:t>
      </w:r>
    </w:p>
    <w:p w:rsidR="00CD518C" w:rsidRDefault="00CD518C" w:rsidP="00CD518C">
      <w:pPr>
        <w:jc w:val="both"/>
        <w:rPr>
          <w:sz w:val="24"/>
          <w:szCs w:val="24"/>
        </w:rPr>
      </w:pPr>
    </w:p>
    <w:p w:rsidR="002D1954" w:rsidRPr="00CD518C" w:rsidRDefault="002D1954" w:rsidP="00CD518C">
      <w:pPr>
        <w:jc w:val="both"/>
        <w:rPr>
          <w:sz w:val="24"/>
          <w:szCs w:val="24"/>
        </w:rPr>
      </w:pPr>
    </w:p>
    <w:p w:rsidR="00CD518C" w:rsidRPr="00CD518C" w:rsidRDefault="00F4074C" w:rsidP="00CD518C">
      <w:pPr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>Chiffres clé et</w:t>
      </w:r>
      <w:r w:rsidR="00CD518C" w:rsidRPr="00CD518C">
        <w:rPr>
          <w:sz w:val="24"/>
          <w:szCs w:val="24"/>
          <w:highlight w:val="lightGray"/>
        </w:rPr>
        <w:t xml:space="preserve"> volumes de déchets collectés</w:t>
      </w:r>
      <w:r w:rsidR="00CD518C" w:rsidRPr="00CD518C">
        <w:rPr>
          <w:sz w:val="24"/>
          <w:szCs w:val="24"/>
        </w:rPr>
        <w:t xml:space="preserve"> </w:t>
      </w:r>
    </w:p>
    <w:p w:rsidR="00F4074C" w:rsidRPr="00F4074C" w:rsidRDefault="00F4074C" w:rsidP="00F4074C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4074C">
        <w:rPr>
          <w:sz w:val="24"/>
          <w:szCs w:val="24"/>
        </w:rPr>
        <w:t>2010 – 2014 : Programme Local de Prévention des déchets</w:t>
      </w:r>
    </w:p>
    <w:p w:rsidR="00F4074C" w:rsidRDefault="00F4074C" w:rsidP="00F40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4074C">
        <w:rPr>
          <w:sz w:val="24"/>
          <w:szCs w:val="24"/>
        </w:rPr>
        <w:t xml:space="preserve"> -11% d’ordures ménagères et as</w:t>
      </w:r>
      <w:r>
        <w:rPr>
          <w:sz w:val="24"/>
          <w:szCs w:val="24"/>
        </w:rPr>
        <w:t xml:space="preserve">similés * entre 2008 (année de </w:t>
      </w:r>
      <w:r w:rsidRPr="00F4074C">
        <w:rPr>
          <w:sz w:val="24"/>
          <w:szCs w:val="24"/>
        </w:rPr>
        <w:t>référence) et 2014,  soit 33 kg en mo</w:t>
      </w:r>
      <w:r>
        <w:rPr>
          <w:sz w:val="24"/>
          <w:szCs w:val="24"/>
        </w:rPr>
        <w:t>ins dans la poubelle de chaque habitant.</w:t>
      </w:r>
    </w:p>
    <w:p w:rsidR="00F4074C" w:rsidRPr="00F4074C" w:rsidRDefault="00F4074C" w:rsidP="00F4074C">
      <w:pPr>
        <w:pStyle w:val="Paragraphedeliste"/>
        <w:jc w:val="both"/>
        <w:rPr>
          <w:i/>
          <w:sz w:val="20"/>
          <w:szCs w:val="20"/>
        </w:rPr>
      </w:pPr>
      <w:r w:rsidRPr="00F4074C">
        <w:rPr>
          <w:i/>
          <w:sz w:val="20"/>
          <w:szCs w:val="20"/>
        </w:rPr>
        <w:t>* Ordures ménagères et recyclables</w:t>
      </w:r>
    </w:p>
    <w:p w:rsidR="00F4074C" w:rsidRPr="00F4074C" w:rsidRDefault="00F4074C" w:rsidP="00F4074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F4074C">
        <w:rPr>
          <w:sz w:val="24"/>
          <w:szCs w:val="24"/>
        </w:rPr>
        <w:t>Coût net : 1,34 € HT par habitant</w:t>
      </w:r>
    </w:p>
    <w:p w:rsidR="00F4074C" w:rsidRPr="00F4074C" w:rsidRDefault="00F4074C" w:rsidP="00F4074C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F4074C">
        <w:rPr>
          <w:sz w:val="24"/>
          <w:szCs w:val="24"/>
        </w:rPr>
        <w:t>Mission transversale du syndicat</w:t>
      </w:r>
    </w:p>
    <w:p w:rsidR="00F4074C" w:rsidRPr="00F4074C" w:rsidRDefault="00F4074C" w:rsidP="00F4074C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F4074C">
        <w:rPr>
          <w:sz w:val="24"/>
          <w:szCs w:val="24"/>
        </w:rPr>
        <w:t>2017-2019 : Contrat Objectif Déchets et Economie Circulaire</w:t>
      </w:r>
    </w:p>
    <w:p w:rsidR="00CD518C" w:rsidRDefault="00F4074C" w:rsidP="00F40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4074C">
        <w:rPr>
          <w:sz w:val="24"/>
          <w:szCs w:val="24"/>
        </w:rPr>
        <w:t>- 5,8 % de déchets ménagers et as</w:t>
      </w:r>
      <w:r>
        <w:rPr>
          <w:sz w:val="24"/>
          <w:szCs w:val="24"/>
        </w:rPr>
        <w:t xml:space="preserve">similés * entre 2015 (année de </w:t>
      </w:r>
      <w:r w:rsidRPr="00F4074C">
        <w:rPr>
          <w:sz w:val="24"/>
          <w:szCs w:val="24"/>
        </w:rPr>
        <w:t>référence) et 2019, soit 33 kg en moins</w:t>
      </w:r>
      <w:r>
        <w:rPr>
          <w:sz w:val="24"/>
          <w:szCs w:val="24"/>
        </w:rPr>
        <w:t>.</w:t>
      </w:r>
    </w:p>
    <w:p w:rsidR="00F4074C" w:rsidRDefault="00F4074C" w:rsidP="00F4074C">
      <w:pPr>
        <w:jc w:val="both"/>
        <w:rPr>
          <w:i/>
          <w:sz w:val="20"/>
          <w:szCs w:val="20"/>
        </w:rPr>
      </w:pPr>
      <w:r w:rsidRPr="00F4074C">
        <w:rPr>
          <w:i/>
          <w:sz w:val="20"/>
          <w:szCs w:val="20"/>
        </w:rPr>
        <w:t>* Ordures ménagères, matériaux recyclables et de déchèteries</w:t>
      </w:r>
    </w:p>
    <w:p w:rsidR="002D1954" w:rsidRPr="002D1954" w:rsidRDefault="002D1954" w:rsidP="002D1954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2D1954">
        <w:rPr>
          <w:sz w:val="24"/>
          <w:szCs w:val="24"/>
        </w:rPr>
        <w:t>6 317 tonnes collectées en 2019, soit 73 kg/</w:t>
      </w:r>
      <w:proofErr w:type="spellStart"/>
      <w:r w:rsidRPr="002D1954">
        <w:rPr>
          <w:sz w:val="24"/>
          <w:szCs w:val="24"/>
        </w:rPr>
        <w:t>hab</w:t>
      </w:r>
      <w:proofErr w:type="spellEnd"/>
      <w:r w:rsidRPr="002D1954">
        <w:rPr>
          <w:sz w:val="24"/>
          <w:szCs w:val="24"/>
        </w:rPr>
        <w:t xml:space="preserve"> (ratio stable par rapport à 2018).</w:t>
      </w:r>
    </w:p>
    <w:p w:rsidR="002D1954" w:rsidRPr="002D1954" w:rsidRDefault="002D1954" w:rsidP="002D1954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2D1954">
        <w:rPr>
          <w:sz w:val="24"/>
          <w:szCs w:val="24"/>
        </w:rPr>
        <w:t>5 793 tonnes valorisées en 2019, soit 67 kg/</w:t>
      </w:r>
      <w:proofErr w:type="spellStart"/>
      <w:r w:rsidRPr="002D1954">
        <w:rPr>
          <w:sz w:val="24"/>
          <w:szCs w:val="24"/>
        </w:rPr>
        <w:t>hab</w:t>
      </w:r>
      <w:proofErr w:type="spellEnd"/>
      <w:r w:rsidRPr="002D1954">
        <w:rPr>
          <w:sz w:val="24"/>
          <w:szCs w:val="24"/>
        </w:rPr>
        <w:t xml:space="preserve"> (- 1kg/hab. par rapport à 2018).</w:t>
      </w:r>
    </w:p>
    <w:p w:rsidR="00F4074C" w:rsidRDefault="00F4074C" w:rsidP="00F4074C">
      <w:pPr>
        <w:jc w:val="both"/>
        <w:rPr>
          <w:sz w:val="24"/>
          <w:szCs w:val="24"/>
          <w:u w:val="single"/>
        </w:rPr>
      </w:pPr>
      <w:r w:rsidRPr="00F4074C">
        <w:rPr>
          <w:sz w:val="24"/>
          <w:szCs w:val="24"/>
          <w:u w:val="single"/>
        </w:rPr>
        <w:t>Le compostage</w:t>
      </w:r>
    </w:p>
    <w:p w:rsidR="002D1954" w:rsidRPr="002D1954" w:rsidRDefault="002D1954" w:rsidP="00F4074C">
      <w:pPr>
        <w:jc w:val="both"/>
        <w:rPr>
          <w:sz w:val="24"/>
          <w:szCs w:val="24"/>
        </w:rPr>
      </w:pPr>
      <w:r w:rsidRPr="002D1954">
        <w:rPr>
          <w:sz w:val="24"/>
          <w:szCs w:val="24"/>
        </w:rPr>
        <w:t>Individuel</w:t>
      </w:r>
    </w:p>
    <w:p w:rsidR="00F4074C" w:rsidRPr="00F4074C" w:rsidRDefault="00F4074C" w:rsidP="00F4074C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F4074C">
        <w:rPr>
          <w:sz w:val="24"/>
          <w:szCs w:val="24"/>
        </w:rPr>
        <w:t>20% des foyers résidant en habitat individuel équipés par le SICTOM entre 2010 et 2019</w:t>
      </w:r>
    </w:p>
    <w:p w:rsidR="00F4074C" w:rsidRDefault="00F4074C" w:rsidP="00F4074C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F4074C">
        <w:rPr>
          <w:sz w:val="24"/>
          <w:szCs w:val="24"/>
        </w:rPr>
        <w:t xml:space="preserve">1 650 tonnes de déchets détournées par an - </w:t>
      </w:r>
      <w:proofErr w:type="spellStart"/>
      <w:r w:rsidRPr="00F4074C">
        <w:rPr>
          <w:sz w:val="24"/>
          <w:szCs w:val="24"/>
        </w:rPr>
        <w:t>biodéchets</w:t>
      </w:r>
      <w:proofErr w:type="spellEnd"/>
      <w:r w:rsidRPr="00F4074C">
        <w:rPr>
          <w:sz w:val="24"/>
          <w:szCs w:val="24"/>
        </w:rPr>
        <w:t xml:space="preserve"> de cuisine et de jardin  (175 kg par foyer par an - source ADEME),  considérant 20% équipés par le SICTOM + 10% compostant avec d’autres matériels ou en tas.</w:t>
      </w:r>
    </w:p>
    <w:p w:rsidR="002D1954" w:rsidRDefault="002D1954" w:rsidP="002D1954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2D1954">
        <w:rPr>
          <w:sz w:val="24"/>
          <w:szCs w:val="24"/>
        </w:rPr>
        <w:t xml:space="preserve">25 « </w:t>
      </w:r>
      <w:proofErr w:type="spellStart"/>
      <w:r w:rsidRPr="002D1954">
        <w:rPr>
          <w:sz w:val="24"/>
          <w:szCs w:val="24"/>
        </w:rPr>
        <w:t>lombricompostants</w:t>
      </w:r>
      <w:proofErr w:type="spellEnd"/>
      <w:r w:rsidRPr="002D1954">
        <w:rPr>
          <w:sz w:val="24"/>
          <w:szCs w:val="24"/>
        </w:rPr>
        <w:t xml:space="preserve"> » et 2 tonnes de déchets détournées - </w:t>
      </w:r>
      <w:proofErr w:type="spellStart"/>
      <w:r w:rsidRPr="002D1954">
        <w:rPr>
          <w:sz w:val="24"/>
          <w:szCs w:val="24"/>
        </w:rPr>
        <w:t>biodéchets</w:t>
      </w:r>
      <w:proofErr w:type="spellEnd"/>
      <w:r w:rsidRPr="002D1954">
        <w:rPr>
          <w:sz w:val="24"/>
          <w:szCs w:val="24"/>
        </w:rPr>
        <w:t xml:space="preserve"> de cuisine  (80 kg par foyer par an - source ADEME).</w:t>
      </w:r>
    </w:p>
    <w:p w:rsidR="002D1954" w:rsidRPr="002D1954" w:rsidRDefault="002D1954" w:rsidP="002D1954">
      <w:pPr>
        <w:jc w:val="both"/>
        <w:rPr>
          <w:sz w:val="24"/>
          <w:szCs w:val="24"/>
        </w:rPr>
      </w:pPr>
      <w:r>
        <w:rPr>
          <w:sz w:val="24"/>
          <w:szCs w:val="24"/>
        </w:rPr>
        <w:t>Collectif</w:t>
      </w:r>
    </w:p>
    <w:p w:rsidR="002D1954" w:rsidRPr="002D1954" w:rsidRDefault="002D1954" w:rsidP="002D1954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2D1954">
        <w:rPr>
          <w:sz w:val="24"/>
          <w:szCs w:val="24"/>
        </w:rPr>
        <w:t>Au total : 32 sites – 4 collèges, 19 écoles, 3 résidences</w:t>
      </w:r>
      <w:r>
        <w:rPr>
          <w:sz w:val="24"/>
          <w:szCs w:val="24"/>
        </w:rPr>
        <w:t xml:space="preserve"> </w:t>
      </w:r>
      <w:r w:rsidRPr="002D1954">
        <w:rPr>
          <w:sz w:val="24"/>
          <w:szCs w:val="24"/>
        </w:rPr>
        <w:t>pour personnes âgées, 4 campings et 2 administrations</w:t>
      </w:r>
    </w:p>
    <w:p w:rsidR="002D1954" w:rsidRPr="002D1954" w:rsidRDefault="002D1954" w:rsidP="002D1954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2D1954">
        <w:rPr>
          <w:sz w:val="24"/>
          <w:szCs w:val="24"/>
        </w:rPr>
        <w:t>32 tonnes de déchets détournées (ratio estimé suite</w:t>
      </w:r>
      <w:r>
        <w:rPr>
          <w:sz w:val="24"/>
          <w:szCs w:val="24"/>
        </w:rPr>
        <w:t xml:space="preserve"> </w:t>
      </w:r>
      <w:r w:rsidRPr="002D1954">
        <w:rPr>
          <w:sz w:val="24"/>
          <w:szCs w:val="24"/>
        </w:rPr>
        <w:t>à pesées – moyenne d’1 tonne par site)</w:t>
      </w:r>
      <w:r>
        <w:rPr>
          <w:sz w:val="24"/>
          <w:szCs w:val="24"/>
        </w:rPr>
        <w:t xml:space="preserve"> </w:t>
      </w:r>
      <w:r w:rsidRPr="002D1954">
        <w:rPr>
          <w:sz w:val="24"/>
          <w:szCs w:val="24"/>
        </w:rPr>
        <w:t>Chaque site est rendu autonome après un</w:t>
      </w:r>
      <w:r>
        <w:rPr>
          <w:sz w:val="24"/>
          <w:szCs w:val="24"/>
        </w:rPr>
        <w:t xml:space="preserve"> </w:t>
      </w:r>
      <w:r w:rsidRPr="002D1954">
        <w:rPr>
          <w:sz w:val="24"/>
          <w:szCs w:val="24"/>
        </w:rPr>
        <w:t>accompagnement du SICTOM pendant 1 an.</w:t>
      </w:r>
    </w:p>
    <w:p w:rsidR="00F4074C" w:rsidRPr="00CD518C" w:rsidRDefault="00F4074C" w:rsidP="00F4074C">
      <w:pPr>
        <w:jc w:val="both"/>
        <w:rPr>
          <w:sz w:val="24"/>
          <w:szCs w:val="24"/>
        </w:rPr>
      </w:pPr>
    </w:p>
    <w:p w:rsidR="00CD518C" w:rsidRDefault="00CD518C" w:rsidP="00CD518C">
      <w:pPr>
        <w:jc w:val="both"/>
        <w:rPr>
          <w:sz w:val="24"/>
          <w:szCs w:val="24"/>
        </w:rPr>
      </w:pPr>
    </w:p>
    <w:p w:rsidR="002D1954" w:rsidRDefault="002D1954" w:rsidP="00CD518C">
      <w:pPr>
        <w:jc w:val="both"/>
        <w:rPr>
          <w:sz w:val="24"/>
          <w:szCs w:val="24"/>
        </w:rPr>
      </w:pPr>
    </w:p>
    <w:p w:rsidR="002D1954" w:rsidRDefault="002D1954" w:rsidP="00CD518C">
      <w:pPr>
        <w:jc w:val="both"/>
        <w:rPr>
          <w:sz w:val="24"/>
          <w:szCs w:val="24"/>
        </w:rPr>
      </w:pPr>
    </w:p>
    <w:p w:rsidR="00A12823" w:rsidRDefault="002D1954" w:rsidP="00CD518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367200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23" w:rsidRPr="00A12823" w:rsidRDefault="00A12823" w:rsidP="00A12823">
      <w:pPr>
        <w:jc w:val="both"/>
        <w:rPr>
          <w:i/>
          <w:sz w:val="24"/>
          <w:szCs w:val="24"/>
        </w:rPr>
      </w:pPr>
      <w:r w:rsidRPr="00A12823">
        <w:rPr>
          <w:i/>
          <w:sz w:val="24"/>
          <w:szCs w:val="24"/>
        </w:rPr>
        <w:t>Source RAPPORT ANNUEL SITCOM MORESTEL 2019</w:t>
      </w:r>
    </w:p>
    <w:p w:rsidR="002D1954" w:rsidRDefault="002D1954" w:rsidP="00CD518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3928041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23" w:rsidRPr="00A12823" w:rsidRDefault="00A12823" w:rsidP="00A12823">
      <w:pPr>
        <w:jc w:val="both"/>
        <w:rPr>
          <w:i/>
          <w:sz w:val="24"/>
          <w:szCs w:val="24"/>
        </w:rPr>
      </w:pPr>
      <w:r w:rsidRPr="00A12823">
        <w:rPr>
          <w:i/>
          <w:sz w:val="24"/>
          <w:szCs w:val="24"/>
        </w:rPr>
        <w:t>Source RAPPORT ANNUEL SITCOM MORESTEL 2019</w:t>
      </w:r>
    </w:p>
    <w:p w:rsidR="00A12823" w:rsidRDefault="00A12823" w:rsidP="00CD518C">
      <w:pPr>
        <w:jc w:val="both"/>
        <w:rPr>
          <w:sz w:val="24"/>
          <w:szCs w:val="24"/>
        </w:rPr>
      </w:pPr>
    </w:p>
    <w:p w:rsidR="00A12823" w:rsidRDefault="002D1954" w:rsidP="00CD518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311770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23" w:rsidRPr="00A12823" w:rsidRDefault="00A12823" w:rsidP="00A12823">
      <w:pPr>
        <w:jc w:val="both"/>
        <w:rPr>
          <w:i/>
          <w:sz w:val="24"/>
          <w:szCs w:val="24"/>
        </w:rPr>
      </w:pPr>
      <w:r w:rsidRPr="00A12823">
        <w:rPr>
          <w:i/>
          <w:sz w:val="24"/>
          <w:szCs w:val="24"/>
        </w:rPr>
        <w:t>Source RAPPORT ANNUEL SITCOM MORESTEL 2019</w:t>
      </w:r>
    </w:p>
    <w:p w:rsidR="00A12823" w:rsidRDefault="002D1954" w:rsidP="00CD518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55105" cy="378142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23" w:rsidRDefault="00A12823" w:rsidP="00CD518C">
      <w:pPr>
        <w:jc w:val="both"/>
        <w:rPr>
          <w:sz w:val="24"/>
          <w:szCs w:val="24"/>
        </w:rPr>
      </w:pPr>
    </w:p>
    <w:p w:rsidR="00A12823" w:rsidRPr="00A12823" w:rsidRDefault="00A12823" w:rsidP="00A12823">
      <w:pPr>
        <w:jc w:val="both"/>
        <w:rPr>
          <w:i/>
          <w:sz w:val="24"/>
          <w:szCs w:val="24"/>
        </w:rPr>
      </w:pPr>
      <w:r w:rsidRPr="00A12823">
        <w:rPr>
          <w:i/>
          <w:sz w:val="24"/>
          <w:szCs w:val="24"/>
        </w:rPr>
        <w:t>Source RAPPORT ANNUEL SITCOM MORESTEL 2019</w:t>
      </w:r>
    </w:p>
    <w:p w:rsidR="00A12823" w:rsidRDefault="00A12823" w:rsidP="00CD518C">
      <w:pPr>
        <w:jc w:val="both"/>
        <w:rPr>
          <w:sz w:val="24"/>
          <w:szCs w:val="24"/>
        </w:rPr>
      </w:pPr>
    </w:p>
    <w:p w:rsidR="00A12823" w:rsidRDefault="00A12823" w:rsidP="00CD518C">
      <w:pPr>
        <w:jc w:val="both"/>
        <w:rPr>
          <w:sz w:val="24"/>
          <w:szCs w:val="24"/>
        </w:rPr>
      </w:pPr>
    </w:p>
    <w:p w:rsidR="00A12823" w:rsidRDefault="00A12823" w:rsidP="00CD518C">
      <w:pPr>
        <w:jc w:val="both"/>
        <w:rPr>
          <w:sz w:val="24"/>
          <w:szCs w:val="24"/>
        </w:rPr>
      </w:pPr>
    </w:p>
    <w:p w:rsidR="002D1954" w:rsidRDefault="002D1954" w:rsidP="00CD518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341949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823" w:rsidRPr="00A12823" w:rsidRDefault="00A12823" w:rsidP="00A12823">
      <w:pPr>
        <w:jc w:val="both"/>
        <w:rPr>
          <w:i/>
          <w:sz w:val="24"/>
          <w:szCs w:val="24"/>
        </w:rPr>
      </w:pPr>
      <w:r w:rsidRPr="00A12823">
        <w:rPr>
          <w:i/>
          <w:sz w:val="24"/>
          <w:szCs w:val="24"/>
        </w:rPr>
        <w:t>Source RAPPORT ANNUEL SITCOM MORESTEL 2019</w:t>
      </w:r>
    </w:p>
    <w:sectPr w:rsidR="00A12823" w:rsidRPr="00A12823" w:rsidSect="00CD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6EF"/>
    <w:multiLevelType w:val="hybridMultilevel"/>
    <w:tmpl w:val="118A2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290"/>
    <w:multiLevelType w:val="hybridMultilevel"/>
    <w:tmpl w:val="BB6A5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81158"/>
    <w:multiLevelType w:val="hybridMultilevel"/>
    <w:tmpl w:val="04D25AE6"/>
    <w:lvl w:ilvl="0" w:tplc="98428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D1806"/>
    <w:multiLevelType w:val="hybridMultilevel"/>
    <w:tmpl w:val="A2C63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65849"/>
    <w:multiLevelType w:val="hybridMultilevel"/>
    <w:tmpl w:val="64F6A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A0334"/>
    <w:multiLevelType w:val="hybridMultilevel"/>
    <w:tmpl w:val="125CC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C25DC"/>
    <w:multiLevelType w:val="hybridMultilevel"/>
    <w:tmpl w:val="89CE4BFA"/>
    <w:lvl w:ilvl="0" w:tplc="D452E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97192"/>
    <w:multiLevelType w:val="hybridMultilevel"/>
    <w:tmpl w:val="22E62500"/>
    <w:lvl w:ilvl="0" w:tplc="15BC4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44359"/>
    <w:multiLevelType w:val="hybridMultilevel"/>
    <w:tmpl w:val="BE12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290"/>
    <w:rsid w:val="00163B0A"/>
    <w:rsid w:val="002D1954"/>
    <w:rsid w:val="00676E6A"/>
    <w:rsid w:val="006E695F"/>
    <w:rsid w:val="007119C5"/>
    <w:rsid w:val="00734AAE"/>
    <w:rsid w:val="00753245"/>
    <w:rsid w:val="00A12823"/>
    <w:rsid w:val="00A928E2"/>
    <w:rsid w:val="00AE427F"/>
    <w:rsid w:val="00BB6C39"/>
    <w:rsid w:val="00CD4A31"/>
    <w:rsid w:val="00CD518C"/>
    <w:rsid w:val="00DC7A0C"/>
    <w:rsid w:val="00DE2617"/>
    <w:rsid w:val="00E03253"/>
    <w:rsid w:val="00E14290"/>
    <w:rsid w:val="00F4074C"/>
    <w:rsid w:val="00F81B05"/>
    <w:rsid w:val="00F9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07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latuillerie</dc:creator>
  <cp:lastModifiedBy>fabrice latuillerie</cp:lastModifiedBy>
  <cp:revision>6</cp:revision>
  <dcterms:created xsi:type="dcterms:W3CDTF">2017-09-27T09:45:00Z</dcterms:created>
  <dcterms:modified xsi:type="dcterms:W3CDTF">2021-01-22T10:29:00Z</dcterms:modified>
</cp:coreProperties>
</file>